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05C82" w:rsidP="004265E6">
            <w:pPr>
              <w:rPr>
                <w:b/>
              </w:rPr>
            </w:pPr>
            <w:r>
              <w:rPr>
                <w:rStyle w:val="Firstpagetablebold"/>
              </w:rPr>
              <w:t>13</w:t>
            </w:r>
            <w:r w:rsidR="00920EBD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 xml:space="preserve">February </w:t>
            </w:r>
            <w:r w:rsidR="00920EBD">
              <w:rPr>
                <w:rStyle w:val="Firstpagetablebold"/>
              </w:rPr>
              <w:t>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6742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Housing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67423" w:rsidP="00E05C8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Use of </w:t>
            </w:r>
            <w:r w:rsidR="00E05C82">
              <w:rPr>
                <w:rStyle w:val="Firstpagetablebold"/>
              </w:rPr>
              <w:t>Receipts from the Sale of 156 Walton Street (</w:t>
            </w:r>
            <w:r>
              <w:rPr>
                <w:rStyle w:val="Firstpagetablebold"/>
              </w:rPr>
              <w:t>HRA assets</w:t>
            </w:r>
            <w:r w:rsidR="00E05C82">
              <w:rPr>
                <w:rStyle w:val="Firstpagetablebold"/>
              </w:rPr>
              <w:t>)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67423" w:rsidP="00E05C82">
            <w:r>
              <w:t>Th</w:t>
            </w:r>
            <w:r w:rsidR="00E05C82">
              <w:t>is</w:t>
            </w:r>
            <w:r>
              <w:t xml:space="preserve"> report seeks approval for the </w:t>
            </w:r>
            <w:r w:rsidR="00E05C82">
              <w:t xml:space="preserve">receipt from the </w:t>
            </w:r>
            <w:r>
              <w:t xml:space="preserve">disposal </w:t>
            </w:r>
            <w:r w:rsidR="00920EBD">
              <w:t>of a HRA property</w:t>
            </w:r>
            <w:r w:rsidR="00E05C82">
              <w:t xml:space="preserve"> t</w:t>
            </w:r>
            <w:r>
              <w:t xml:space="preserve">o be used </w:t>
            </w:r>
            <w:r w:rsidR="00E4222F">
              <w:t>for the purpose of purchasing larger properties to address overcrowding issues.</w:t>
            </w:r>
            <w:r>
              <w:t xml:space="preserve">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Default="00D5547E" w:rsidP="00E4222F">
            <w:r w:rsidRPr="001356F1">
              <w:t xml:space="preserve">Councillor </w:t>
            </w:r>
            <w:r w:rsidR="00E4222F">
              <w:t>Mike Rowley</w:t>
            </w:r>
            <w:r w:rsidRPr="001356F1">
              <w:t xml:space="preserve">, </w:t>
            </w:r>
            <w:r w:rsidR="00E4222F">
              <w:t>Housing</w:t>
            </w:r>
          </w:p>
          <w:p w:rsidR="00E4222F" w:rsidRPr="001356F1" w:rsidRDefault="00E4222F" w:rsidP="00E4222F">
            <w:r>
              <w:t>Councillor Ed Turner, Finance and Asset Management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Default="00E4222F" w:rsidP="005F7F7E">
            <w:r>
              <w:t>Meeting housing needs</w:t>
            </w:r>
          </w:p>
          <w:p w:rsidR="00E4222F" w:rsidRPr="001356F1" w:rsidRDefault="00E4222F" w:rsidP="005F7F7E">
            <w:r>
              <w:t>An efficient and effective Council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4222F" w:rsidP="005F7F7E">
            <w:r>
              <w:t>None</w:t>
            </w:r>
            <w:r w:rsidR="00D5547E" w:rsidRPr="001356F1">
              <w:t>.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:rsidTr="008E2241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0A29E2" w:rsidRDefault="00046D2B" w:rsidP="004A6D2F">
            <w:r w:rsidRPr="000A29E2">
              <w:t>1.</w:t>
            </w:r>
          </w:p>
          <w:p w:rsidR="000A29E2" w:rsidRPr="000A29E2" w:rsidRDefault="000A29E2" w:rsidP="004A6D2F">
            <w:pPr>
              <w:rPr>
                <w:sz w:val="18"/>
                <w:szCs w:val="18"/>
              </w:rPr>
            </w:pPr>
          </w:p>
          <w:p w:rsidR="000A29E2" w:rsidRPr="000A29E2" w:rsidRDefault="000A29E2" w:rsidP="004A6D2F"/>
          <w:p w:rsidR="000A29E2" w:rsidRPr="000A29E2" w:rsidRDefault="000A29E2" w:rsidP="004A6D2F">
            <w:r w:rsidRPr="000A29E2">
              <w:t>2.</w:t>
            </w:r>
          </w:p>
          <w:p w:rsidR="000A29E2" w:rsidRPr="00975B07" w:rsidRDefault="000A29E2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717D" w:rsidRDefault="005F717D" w:rsidP="00426DDA">
            <w:pPr>
              <w:pStyle w:val="Default"/>
              <w:rPr>
                <w:rStyle w:val="Firstpagetablebold"/>
                <w:b w:val="0"/>
              </w:rPr>
            </w:pPr>
            <w:r w:rsidRPr="0053774D">
              <w:rPr>
                <w:rStyle w:val="Firstpagetablebold"/>
              </w:rPr>
              <w:t>R</w:t>
            </w:r>
            <w:r w:rsidR="00C84ECC" w:rsidRPr="0053774D">
              <w:rPr>
                <w:rStyle w:val="Firstpagetablebold"/>
              </w:rPr>
              <w:t>ecommend</w:t>
            </w:r>
            <w:r>
              <w:rPr>
                <w:rStyle w:val="Firstpagetablebold"/>
                <w:b w:val="0"/>
              </w:rPr>
              <w:t xml:space="preserve"> that </w:t>
            </w:r>
            <w:r w:rsidR="000A29E2">
              <w:rPr>
                <w:rStyle w:val="Firstpagetablebold"/>
                <w:b w:val="0"/>
              </w:rPr>
              <w:t>f</w:t>
            </w:r>
            <w:r>
              <w:rPr>
                <w:rStyle w:val="Firstpagetablebold"/>
                <w:b w:val="0"/>
              </w:rPr>
              <w:t xml:space="preserve">ull </w:t>
            </w:r>
            <w:r w:rsidR="00C84ECC" w:rsidRPr="00C84ECC">
              <w:rPr>
                <w:rStyle w:val="Firstpagetablebold"/>
                <w:b w:val="0"/>
              </w:rPr>
              <w:t>Council</w:t>
            </w:r>
            <w:r w:rsidR="00C84ECC">
              <w:rPr>
                <w:rStyle w:val="Firstpagetablebold"/>
              </w:rPr>
              <w:t xml:space="preserve"> </w:t>
            </w:r>
            <w:r w:rsidR="00C84ECC" w:rsidRPr="00C84ECC">
              <w:rPr>
                <w:rStyle w:val="Firstpagetablebold"/>
                <w:b w:val="0"/>
              </w:rPr>
              <w:t xml:space="preserve">include an additional budget in the HRA capital programme of </w:t>
            </w:r>
            <w:r w:rsidR="00CE7EE1">
              <w:t xml:space="preserve">£1,035,000 </w:t>
            </w:r>
            <w:r w:rsidR="00426DDA">
              <w:rPr>
                <w:rStyle w:val="Firstpagetablebold"/>
                <w:b w:val="0"/>
              </w:rPr>
              <w:t>for the acquisition of social housing properties from the open market</w:t>
            </w:r>
            <w:r w:rsidR="00C84ECC">
              <w:rPr>
                <w:rStyle w:val="Firstpagetablebold"/>
                <w:b w:val="0"/>
              </w:rPr>
              <w:t xml:space="preserve">, funded by </w:t>
            </w:r>
            <w:r w:rsidR="00E05C82" w:rsidRPr="002F39EE">
              <w:rPr>
                <w:rStyle w:val="Firstpagetablebold"/>
                <w:b w:val="0"/>
              </w:rPr>
              <w:t xml:space="preserve"> the receipt</w:t>
            </w:r>
            <w:r w:rsidR="00E05C82">
              <w:rPr>
                <w:rStyle w:val="Firstpagetablebold"/>
                <w:b w:val="0"/>
              </w:rPr>
              <w:t xml:space="preserve"> from the sale of 156 Walton Street</w:t>
            </w:r>
            <w:r>
              <w:rPr>
                <w:rStyle w:val="Firstpagetablebold"/>
                <w:b w:val="0"/>
              </w:rPr>
              <w:t xml:space="preserve">; and </w:t>
            </w:r>
          </w:p>
          <w:p w:rsidR="000D29D2" w:rsidRPr="001356F1" w:rsidRDefault="005F717D" w:rsidP="000A29E2">
            <w:pPr>
              <w:pStyle w:val="Default"/>
            </w:pPr>
            <w:r w:rsidRPr="0053774D">
              <w:rPr>
                <w:rStyle w:val="Firstpagetablebold"/>
              </w:rPr>
              <w:t>Grant</w:t>
            </w:r>
            <w:r w:rsidR="00E05C82" w:rsidRPr="0053774D">
              <w:rPr>
                <w:rStyle w:val="Firstpagetablebold"/>
              </w:rPr>
              <w:t xml:space="preserve"> delegate</w:t>
            </w:r>
            <w:r w:rsidRPr="0053774D">
              <w:rPr>
                <w:rStyle w:val="Firstpagetablebold"/>
              </w:rPr>
              <w:t>d</w:t>
            </w:r>
            <w:r w:rsidR="00E05C82" w:rsidRPr="0053774D">
              <w:rPr>
                <w:rStyle w:val="Firstpagetablebold"/>
              </w:rPr>
              <w:t xml:space="preserve"> authority</w:t>
            </w:r>
            <w:r w:rsidR="00E05C82" w:rsidRPr="002F39EE">
              <w:rPr>
                <w:rStyle w:val="Firstpagetablebold"/>
                <w:b w:val="0"/>
              </w:rPr>
              <w:t xml:space="preserve"> to the Head of Housing </w:t>
            </w:r>
            <w:r w:rsidR="000A29E2">
              <w:rPr>
                <w:rStyle w:val="Firstpagetablebold"/>
                <w:b w:val="0"/>
              </w:rPr>
              <w:t>S</w:t>
            </w:r>
            <w:r w:rsidR="00E05C82" w:rsidRPr="002F39EE">
              <w:rPr>
                <w:rStyle w:val="Firstpagetablebold"/>
                <w:b w:val="0"/>
              </w:rPr>
              <w:t xml:space="preserve">ervices to </w:t>
            </w:r>
            <w:r>
              <w:rPr>
                <w:rStyle w:val="Firstpagetablebold"/>
                <w:b w:val="0"/>
              </w:rPr>
              <w:t>negotiate and agree</w:t>
            </w:r>
            <w:r w:rsidR="00E05C82" w:rsidRPr="002F39EE">
              <w:rPr>
                <w:rStyle w:val="Firstpagetablebold"/>
                <w:b w:val="0"/>
              </w:rPr>
              <w:t xml:space="preserve"> such transactions</w:t>
            </w:r>
            <w:r w:rsidR="00E05C82">
              <w:rPr>
                <w:rStyle w:val="Firstpagetablebold"/>
                <w:b w:val="0"/>
              </w:rPr>
              <w:t xml:space="preserve">, including </w:t>
            </w:r>
            <w:r>
              <w:rPr>
                <w:rStyle w:val="Firstpagetablebold"/>
                <w:b w:val="0"/>
              </w:rPr>
              <w:t xml:space="preserve">any </w:t>
            </w:r>
            <w:r w:rsidR="00E05C82">
              <w:rPr>
                <w:rStyle w:val="Firstpagetablebold"/>
                <w:b w:val="0"/>
              </w:rPr>
              <w:t>works required to any acquisitions,</w:t>
            </w:r>
            <w:r w:rsidR="00E05C82" w:rsidRPr="002F39EE">
              <w:rPr>
                <w:rStyle w:val="Firstpagetablebold"/>
                <w:b w:val="0"/>
              </w:rPr>
              <w:t xml:space="preserve"> to </w:t>
            </w:r>
            <w:r w:rsidR="00E05C82">
              <w:rPr>
                <w:rStyle w:val="Firstpagetablebold"/>
                <w:b w:val="0"/>
              </w:rPr>
              <w:t>maximise the benefit of the receipt</w:t>
            </w:r>
            <w:r w:rsidR="00426DDA">
              <w:rPr>
                <w:rStyle w:val="Firstpagetablebold"/>
                <w:b w:val="0"/>
              </w:rPr>
              <w:t>.</w:t>
            </w:r>
          </w:p>
        </w:tc>
      </w:tr>
      <w:tr w:rsidR="00920EBD" w:rsidRPr="00975B07" w:rsidTr="008E224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0EBD" w:rsidRPr="002F39EE" w:rsidRDefault="00920EBD" w:rsidP="004A6D2F">
            <w:pPr>
              <w:rPr>
                <w:b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EBD" w:rsidRDefault="00920EBD" w:rsidP="002A16FE">
            <w:pPr>
              <w:rPr>
                <w:rStyle w:val="Firstpagetablebold"/>
              </w:rPr>
            </w:pP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BB705D" w:rsidP="004A6D2F">
            <w:r>
              <w:t>Risk Register</w:t>
            </w:r>
          </w:p>
        </w:tc>
      </w:tr>
      <w:tr w:rsidR="00ED5860" w:rsidRPr="00975B07" w:rsidTr="00BB705D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5860" w:rsidRPr="001356F1" w:rsidRDefault="00BB705D" w:rsidP="004A6D2F">
            <w:r>
              <w:t>Initial Equalities Impact Assessment</w:t>
            </w:r>
          </w:p>
        </w:tc>
      </w:tr>
    </w:tbl>
    <w:p w:rsidR="002F7F3B" w:rsidRDefault="002F7F3B" w:rsidP="004A6D2F">
      <w:pPr>
        <w:pStyle w:val="Heading1"/>
      </w:pPr>
    </w:p>
    <w:p w:rsidR="00E05C82" w:rsidRDefault="00E05C82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E87F7A" w:rsidRPr="001356F1" w:rsidRDefault="002A16FE" w:rsidP="00920EBD">
      <w:pPr>
        <w:pStyle w:val="ListParagraph"/>
        <w:numPr>
          <w:ilvl w:val="0"/>
          <w:numId w:val="37"/>
        </w:numPr>
      </w:pPr>
      <w:r>
        <w:t>C</w:t>
      </w:r>
      <w:r w:rsidR="00920EBD">
        <w:t xml:space="preserve">ity Executive Board </w:t>
      </w:r>
      <w:r>
        <w:t>agreed</w:t>
      </w:r>
      <w:r w:rsidR="002F39EE">
        <w:t xml:space="preserve"> </w:t>
      </w:r>
      <w:r w:rsidR="00920EBD">
        <w:t>on 11</w:t>
      </w:r>
      <w:bookmarkStart w:id="0" w:name="_GoBack"/>
      <w:bookmarkEnd w:id="0"/>
      <w:r w:rsidR="00920EBD">
        <w:t xml:space="preserve"> May 2017, </w:t>
      </w:r>
      <w:r w:rsidR="002F39EE">
        <w:t>t</w:t>
      </w:r>
      <w:r w:rsidR="008E2241">
        <w:t>o dispose of 156 Walton Street and use the receipt to purchase additional homes in the city subject to a further report on the most expedient route. This report sets out that route</w:t>
      </w:r>
      <w:r w:rsidR="00E05C82">
        <w:t>.</w:t>
      </w:r>
    </w:p>
    <w:p w:rsidR="00633578" w:rsidRPr="001356F1" w:rsidRDefault="008E2241" w:rsidP="00E87F7A">
      <w:pPr>
        <w:pStyle w:val="Heading1"/>
      </w:pPr>
      <w:r>
        <w:t>156 Walton Street</w:t>
      </w:r>
    </w:p>
    <w:p w:rsidR="008E2241" w:rsidRPr="001356F1" w:rsidRDefault="008E2241" w:rsidP="00920EBD">
      <w:pPr>
        <w:pStyle w:val="ListParagraph"/>
        <w:numPr>
          <w:ilvl w:val="0"/>
          <w:numId w:val="37"/>
        </w:numPr>
      </w:pPr>
      <w:r>
        <w:t xml:space="preserve">The marketing exercise has been successful and a bid of </w:t>
      </w:r>
      <w:r w:rsidR="00CE7EE1">
        <w:t xml:space="preserve">£1,045,000 </w:t>
      </w:r>
      <w:r w:rsidR="00E05C82">
        <w:t xml:space="preserve">was </w:t>
      </w:r>
      <w:r>
        <w:t xml:space="preserve">accepted for the property. </w:t>
      </w:r>
      <w:r w:rsidR="00CE7EE1">
        <w:t xml:space="preserve">Fees from the sale </w:t>
      </w:r>
      <w:r w:rsidR="000635BB">
        <w:t xml:space="preserve">(agents fees, legal fees and EPC) </w:t>
      </w:r>
      <w:r w:rsidR="00CE7EE1">
        <w:t>amounted to £10,000, leaving a net receipt of £1,035,000</w:t>
      </w:r>
    </w:p>
    <w:p w:rsidR="008E2241" w:rsidRPr="008E2241" w:rsidRDefault="008E2241">
      <w:pPr>
        <w:pStyle w:val="ListParagraph"/>
        <w:rPr>
          <w:b/>
        </w:rPr>
      </w:pPr>
      <w:r w:rsidRPr="008E2241">
        <w:rPr>
          <w:b/>
        </w:rPr>
        <w:t>Best use of receipts</w:t>
      </w:r>
    </w:p>
    <w:p w:rsidR="00C9301A" w:rsidRDefault="00B5018F" w:rsidP="00920EBD">
      <w:pPr>
        <w:pStyle w:val="ListParagraph"/>
        <w:numPr>
          <w:ilvl w:val="0"/>
          <w:numId w:val="37"/>
        </w:numPr>
      </w:pPr>
      <w:r>
        <w:t>T</w:t>
      </w:r>
      <w:r w:rsidR="002A16FE">
        <w:t>wo options have been explored</w:t>
      </w:r>
      <w:r>
        <w:t xml:space="preserve"> </w:t>
      </w:r>
      <w:r w:rsidR="00C9301A">
        <w:t>namely</w:t>
      </w:r>
    </w:p>
    <w:p w:rsidR="00C9301A" w:rsidRDefault="00C9301A" w:rsidP="002F39EE">
      <w:pPr>
        <w:pStyle w:val="ListParagraph"/>
        <w:numPr>
          <w:ilvl w:val="0"/>
          <w:numId w:val="14"/>
        </w:numPr>
      </w:pPr>
      <w:r>
        <w:t>The straight purchase of additional units within the Housing Revenue account for let at social rent</w:t>
      </w:r>
    </w:p>
    <w:p w:rsidR="00C9301A" w:rsidRDefault="00C9301A" w:rsidP="002F39EE">
      <w:pPr>
        <w:pStyle w:val="ListParagraph"/>
        <w:numPr>
          <w:ilvl w:val="0"/>
          <w:numId w:val="14"/>
        </w:numPr>
      </w:pPr>
      <w:r>
        <w:t xml:space="preserve">The giving of the receipt as a </w:t>
      </w:r>
      <w:r w:rsidR="00920EBD">
        <w:t>grant to the Council’s Housing C</w:t>
      </w:r>
      <w:r>
        <w:t>ompany together with the provision of a further loan to allow OCHL to purchase an increased number of units.</w:t>
      </w:r>
    </w:p>
    <w:p w:rsidR="000D485D" w:rsidRDefault="00C9301A" w:rsidP="00920EBD">
      <w:pPr>
        <w:pStyle w:val="ListParagraph"/>
        <w:numPr>
          <w:ilvl w:val="0"/>
          <w:numId w:val="37"/>
        </w:numPr>
      </w:pPr>
      <w:r>
        <w:t xml:space="preserve">In conclusion, </w:t>
      </w:r>
      <w:r w:rsidR="000D485D">
        <w:t xml:space="preserve">option one is being recommended </w:t>
      </w:r>
      <w:r>
        <w:t xml:space="preserve">as the business case for the second option is dependent on the letting of the properties at </w:t>
      </w:r>
      <w:r w:rsidR="000D485D">
        <w:t>above social rent which may then present an affordability issue for these large families given the welfare benefit changes and the overall benefit cap.</w:t>
      </w:r>
    </w:p>
    <w:p w:rsidR="00B5018F" w:rsidRPr="002F39EE" w:rsidRDefault="00E05C82" w:rsidP="00920EBD">
      <w:pPr>
        <w:rPr>
          <w:b/>
        </w:rPr>
      </w:pPr>
      <w:r>
        <w:rPr>
          <w:b/>
        </w:rPr>
        <w:t>Acquisitions</w:t>
      </w:r>
    </w:p>
    <w:p w:rsidR="00B5018F" w:rsidRDefault="000D485D" w:rsidP="00920EBD">
      <w:pPr>
        <w:pStyle w:val="ListParagraph"/>
        <w:numPr>
          <w:ilvl w:val="0"/>
          <w:numId w:val="37"/>
        </w:numPr>
      </w:pPr>
      <w:r>
        <w:t xml:space="preserve">There is a specific unmet need on the housing register for family homes of 4 bedrooms </w:t>
      </w:r>
      <w:r w:rsidRPr="002F39EE">
        <w:t>or larger with a number of households in high priority bands requiring such</w:t>
      </w:r>
      <w:r>
        <w:t xml:space="preserve"> accommodation due to serious overcrowding</w:t>
      </w:r>
      <w:r w:rsidR="00E604AD">
        <w:t xml:space="preserve">. The need is unmet as there is little social rented stock left of this size and turnover is exceptionally low, especially for 5 bedrooms or larger where lets are extremely rare. </w:t>
      </w:r>
      <w:r w:rsidR="00B5018F">
        <w:t xml:space="preserve">It is </w:t>
      </w:r>
      <w:r w:rsidR="00E604AD">
        <w:t>proposed</w:t>
      </w:r>
      <w:r w:rsidR="00B5018F">
        <w:t xml:space="preserve"> that </w:t>
      </w:r>
      <w:r w:rsidR="00E05C82">
        <w:t>a</w:t>
      </w:r>
      <w:r w:rsidR="00B5018F">
        <w:t xml:space="preserve">cquisitions would be </w:t>
      </w:r>
      <w:r w:rsidR="00E604AD">
        <w:t>targeted</w:t>
      </w:r>
      <w:r w:rsidR="00B5018F">
        <w:t xml:space="preserve"> on addressing the acute overcrowding issues currently facing certain households.</w:t>
      </w:r>
      <w:r w:rsidR="00E604AD">
        <w:t xml:space="preserve"> It </w:t>
      </w:r>
      <w:r w:rsidR="00E05C82">
        <w:t>is anticipated that the receipt</w:t>
      </w:r>
      <w:r w:rsidR="00E604AD">
        <w:t xml:space="preserve"> could realise </w:t>
      </w:r>
      <w:r w:rsidR="00E05C82">
        <w:t>at least 2</w:t>
      </w:r>
      <w:r w:rsidR="00E604AD">
        <w:t xml:space="preserve"> larger homes</w:t>
      </w:r>
      <w:r w:rsidR="00E05C82">
        <w:t>, possibly 3.  I</w:t>
      </w:r>
      <w:r w:rsidR="00E604AD">
        <w:t>t is als</w:t>
      </w:r>
      <w:r w:rsidR="00E05C82">
        <w:t xml:space="preserve">o intended to apply some </w:t>
      </w:r>
      <w:r w:rsidR="00E604AD">
        <w:t>existing budge</w:t>
      </w:r>
      <w:r w:rsidR="00E05C82">
        <w:t>t for extensions/ conversions as</w:t>
      </w:r>
      <w:r w:rsidR="00E604AD">
        <w:t xml:space="preserve"> necessary to help deliver some 5-6 bed units if they are not available in the market</w:t>
      </w:r>
      <w:r w:rsidR="00E05C82">
        <w:t>, (i.e. to purchase smaller properties that are capable of extension, and then to extend them)</w:t>
      </w:r>
      <w:r w:rsidR="00E604AD">
        <w:t xml:space="preserve">. </w:t>
      </w:r>
      <w:r w:rsidR="00920EBD">
        <w:t xml:space="preserve"> </w:t>
      </w:r>
    </w:p>
    <w:p w:rsidR="00534D30" w:rsidRPr="008E2241" w:rsidRDefault="00534D30" w:rsidP="00920EBD">
      <w:pPr>
        <w:pStyle w:val="ListParagraph"/>
        <w:numPr>
          <w:ilvl w:val="0"/>
          <w:numId w:val="37"/>
        </w:numPr>
      </w:pPr>
      <w:r>
        <w:t>It is anticipated that this acquisition activity will be undertaken in the 2018/19 year, but the market for suitable larger properties, at an acceptable cost to the Council (and to achieve a replacement ratio of at least 2 for 1), is extremely limited.</w:t>
      </w:r>
    </w:p>
    <w:p w:rsidR="0040736F" w:rsidRPr="00B5018F" w:rsidRDefault="002329CF" w:rsidP="008E2241">
      <w:pPr>
        <w:pStyle w:val="ListParagraph"/>
        <w:rPr>
          <w:b/>
        </w:rPr>
      </w:pPr>
      <w:r w:rsidRPr="00B5018F">
        <w:rPr>
          <w:b/>
        </w:rPr>
        <w:t>Financial implications</w:t>
      </w:r>
    </w:p>
    <w:p w:rsidR="00C84ECC" w:rsidRDefault="00B5018F" w:rsidP="00C84ECC">
      <w:pPr>
        <w:pStyle w:val="ListParagraph"/>
        <w:numPr>
          <w:ilvl w:val="0"/>
          <w:numId w:val="37"/>
        </w:numPr>
      </w:pPr>
      <w:r>
        <w:t>As the sale of th</w:t>
      </w:r>
      <w:r w:rsidR="00E05C82">
        <w:t xml:space="preserve">is </w:t>
      </w:r>
      <w:r>
        <w:t>propert</w:t>
      </w:r>
      <w:r w:rsidR="00E05C82">
        <w:t>y is a</w:t>
      </w:r>
      <w:r>
        <w:t xml:space="preserve"> voluntary dis</w:t>
      </w:r>
      <w:r w:rsidR="00BB705D">
        <w:t xml:space="preserve">posal </w:t>
      </w:r>
      <w:r w:rsidR="00C84ECC">
        <w:t xml:space="preserve">i.e. non-Right to Buy </w:t>
      </w:r>
      <w:r w:rsidR="00BB705D">
        <w:t>the Council does not have to pool the receipts with central government a</w:t>
      </w:r>
      <w:r w:rsidR="00C84ECC">
        <w:t xml:space="preserve">s long </w:t>
      </w:r>
      <w:proofErr w:type="gramStart"/>
      <w:r w:rsidR="00C84ECC">
        <w:t xml:space="preserve">as </w:t>
      </w:r>
      <w:r w:rsidR="00BB705D">
        <w:t xml:space="preserve"> the</w:t>
      </w:r>
      <w:r w:rsidR="00E05C82">
        <w:t>y</w:t>
      </w:r>
      <w:proofErr w:type="gramEnd"/>
      <w:r w:rsidR="00E05C82">
        <w:t xml:space="preserve"> </w:t>
      </w:r>
      <w:r w:rsidR="00C84ECC">
        <w:t>are</w:t>
      </w:r>
      <w:r w:rsidR="00E05C82">
        <w:t xml:space="preserve"> used in their</w:t>
      </w:r>
      <w:r w:rsidR="00BB705D">
        <w:t xml:space="preserve"> entirety on</w:t>
      </w:r>
      <w:r w:rsidR="00331BAA">
        <w:t xml:space="preserve"> t</w:t>
      </w:r>
      <w:r w:rsidR="00BB705D">
        <w:t>he provision of affordable housing</w:t>
      </w:r>
      <w:r w:rsidR="00C84ECC">
        <w:t xml:space="preserve"> or</w:t>
      </w:r>
      <w:r w:rsidR="00331BAA">
        <w:t xml:space="preserve"> s</w:t>
      </w:r>
      <w:r w:rsidR="00BB705D">
        <w:t>upporting regeneration</w:t>
      </w:r>
      <w:r w:rsidR="00C84ECC">
        <w:t xml:space="preserve"> activities</w:t>
      </w:r>
      <w:r w:rsidR="00E87F7A" w:rsidRPr="001356F1">
        <w:t>.</w:t>
      </w:r>
    </w:p>
    <w:p w:rsidR="00C84ECC" w:rsidRPr="001356F1" w:rsidRDefault="00C84ECC" w:rsidP="00C84ECC">
      <w:pPr>
        <w:pStyle w:val="ListParagraph"/>
        <w:numPr>
          <w:ilvl w:val="0"/>
          <w:numId w:val="37"/>
        </w:numPr>
      </w:pPr>
      <w:r>
        <w:t xml:space="preserve">The recommendation above to use the receipt for the acquisition of additional HRA properties is effectively “new” capital expenditure and as such </w:t>
      </w:r>
      <w:r w:rsidR="005F717D">
        <w:t xml:space="preserve">is subject to  </w:t>
      </w:r>
      <w:r>
        <w:t xml:space="preserve"> </w:t>
      </w:r>
      <w:r w:rsidR="005F717D">
        <w:t xml:space="preserve">Full </w:t>
      </w:r>
      <w:r>
        <w:t>Council approv</w:t>
      </w:r>
      <w:r w:rsidR="005F717D">
        <w:t>ing</w:t>
      </w:r>
      <w:r>
        <w:t xml:space="preserve"> this additional scheme in the Council’s capital programme. 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2F39EE" w:rsidRDefault="00E01C0D" w:rsidP="00920EBD">
      <w:pPr>
        <w:pStyle w:val="ListParagraph"/>
        <w:numPr>
          <w:ilvl w:val="0"/>
          <w:numId w:val="37"/>
        </w:numPr>
      </w:pPr>
      <w:r>
        <w:lastRenderedPageBreak/>
        <w:t>There are no specific legal considerations</w:t>
      </w:r>
    </w:p>
    <w:p w:rsidR="002329CF" w:rsidRPr="002F39EE" w:rsidRDefault="00E01C0D" w:rsidP="002F39EE">
      <w:pPr>
        <w:pStyle w:val="ListParagraph"/>
        <w:rPr>
          <w:b/>
        </w:rPr>
      </w:pPr>
      <w:r w:rsidRPr="002F39EE">
        <w:rPr>
          <w:b/>
        </w:rPr>
        <w:t xml:space="preserve"> </w:t>
      </w:r>
      <w:r w:rsidR="002329CF" w:rsidRPr="002F39EE">
        <w:rPr>
          <w:b/>
        </w:rPr>
        <w:t>Level of risk</w:t>
      </w:r>
    </w:p>
    <w:p w:rsidR="00BC69A4" w:rsidRPr="001356F1" w:rsidRDefault="00E01C0D" w:rsidP="00920EBD">
      <w:pPr>
        <w:pStyle w:val="ListParagraph"/>
        <w:numPr>
          <w:ilvl w:val="0"/>
          <w:numId w:val="37"/>
        </w:numPr>
      </w:pPr>
      <w:r>
        <w:t>Appendix 1 considers the risks</w:t>
      </w:r>
      <w:r w:rsidR="0093067A" w:rsidRPr="001356F1">
        <w:t>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E206D6" w:rsidRPr="001356F1" w:rsidRDefault="0093067A" w:rsidP="00920EBD">
      <w:pPr>
        <w:pStyle w:val="ListParagraph"/>
        <w:numPr>
          <w:ilvl w:val="0"/>
          <w:numId w:val="37"/>
        </w:numPr>
      </w:pPr>
      <w:r w:rsidRPr="001356F1">
        <w:t>A</w:t>
      </w:r>
      <w:r w:rsidR="00E01C0D">
        <w:t>ppendix 2 details the equalities implications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E01C0D" w:rsidP="00E01C0D">
            <w:r>
              <w:t>Stephen Clarke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B705D" w:rsidP="002F39EE">
            <w:r>
              <w:t>H</w:t>
            </w:r>
            <w:r w:rsidR="00E01C0D">
              <w:t>ead of Housing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B705D" w:rsidP="00A46E98">
            <w:r>
              <w:t>Housing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B705D" w:rsidP="00E01C0D">
            <w:r>
              <w:t>01865 252</w:t>
            </w:r>
            <w:r w:rsidR="00E01C0D">
              <w:t>447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E01C0D" w:rsidP="00E01C0D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sclarke</w:t>
            </w:r>
            <w:r w:rsidR="00BB705D">
              <w:rPr>
                <w:rStyle w:val="Hyperlink"/>
                <w:color w:val="000000"/>
              </w:rPr>
              <w:t>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54712D" w:rsidRDefault="0054712D" w:rsidP="0093067A"/>
    <w:sectPr w:rsidR="0054712D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43" w:rsidRDefault="00593243" w:rsidP="004A6D2F">
      <w:r>
        <w:separator/>
      </w:r>
    </w:p>
  </w:endnote>
  <w:endnote w:type="continuationSeparator" w:id="0">
    <w:p w:rsidR="00593243" w:rsidRDefault="0059324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43" w:rsidRDefault="00593243" w:rsidP="004A6D2F">
      <w:r>
        <w:separator/>
      </w:r>
    </w:p>
  </w:footnote>
  <w:footnote w:type="continuationSeparator" w:id="0">
    <w:p w:rsidR="00593243" w:rsidRDefault="0059324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406F14" w:rsidP="00D5547E">
    <w:pPr>
      <w:pStyle w:val="Header"/>
      <w:jc w:val="right"/>
    </w:pPr>
    <w:r>
      <w:rPr>
        <w:noProof/>
      </w:rPr>
      <w:drawing>
        <wp:inline distT="0" distB="0" distL="0" distR="0" wp14:anchorId="0F53F5C7" wp14:editId="2308844C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AA77A98"/>
    <w:multiLevelType w:val="hybridMultilevel"/>
    <w:tmpl w:val="FEB2B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A48F8"/>
    <w:multiLevelType w:val="hybridMultilevel"/>
    <w:tmpl w:val="11544A9E"/>
    <w:lvl w:ilvl="0" w:tplc="08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F3B8F"/>
    <w:multiLevelType w:val="hybridMultilevel"/>
    <w:tmpl w:val="EF567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B250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A5FD8"/>
    <w:multiLevelType w:val="multilevel"/>
    <w:tmpl w:val="43D6D2FA"/>
    <w:numStyleLink w:val="StyleBulletedSymbolsymbolLeft063cmHanging063cm"/>
  </w:abstractNum>
  <w:abstractNum w:abstractNumId="31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2831"/>
    <w:multiLevelType w:val="multilevel"/>
    <w:tmpl w:val="43D6D2FA"/>
    <w:numStyleLink w:val="StyleBulletedSymbolsymbolLeft063cmHanging063cm"/>
  </w:abstractNum>
  <w:abstractNum w:abstractNumId="33">
    <w:nsid w:val="632D7B0F"/>
    <w:multiLevelType w:val="hybridMultilevel"/>
    <w:tmpl w:val="7BB8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5"/>
  </w:num>
  <w:num w:numId="3">
    <w:abstractNumId w:val="26"/>
  </w:num>
  <w:num w:numId="4">
    <w:abstractNumId w:val="20"/>
  </w:num>
  <w:num w:numId="5">
    <w:abstractNumId w:val="31"/>
  </w:num>
  <w:num w:numId="6">
    <w:abstractNumId w:val="36"/>
  </w:num>
  <w:num w:numId="7">
    <w:abstractNumId w:val="25"/>
  </w:num>
  <w:num w:numId="8">
    <w:abstractNumId w:val="22"/>
  </w:num>
  <w:num w:numId="9">
    <w:abstractNumId w:val="13"/>
  </w:num>
  <w:num w:numId="10">
    <w:abstractNumId w:val="15"/>
  </w:num>
  <w:num w:numId="11">
    <w:abstractNumId w:val="28"/>
  </w:num>
  <w:num w:numId="12">
    <w:abstractNumId w:val="27"/>
  </w:num>
  <w:num w:numId="13">
    <w:abstractNumId w:val="10"/>
  </w:num>
  <w:num w:numId="14">
    <w:abstractNumId w:val="24"/>
  </w:num>
  <w:num w:numId="15">
    <w:abstractNumId w:val="16"/>
  </w:num>
  <w:num w:numId="16">
    <w:abstractNumId w:val="11"/>
  </w:num>
  <w:num w:numId="17">
    <w:abstractNumId w:val="30"/>
  </w:num>
  <w:num w:numId="18">
    <w:abstractNumId w:val="12"/>
  </w:num>
  <w:num w:numId="19">
    <w:abstractNumId w:val="32"/>
  </w:num>
  <w:num w:numId="20">
    <w:abstractNumId w:val="17"/>
  </w:num>
  <w:num w:numId="21">
    <w:abstractNumId w:val="23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8"/>
  </w:num>
  <w:num w:numId="36">
    <w:abstractNumId w:val="33"/>
  </w:num>
  <w:num w:numId="3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3"/>
    <w:rsid w:val="000117D4"/>
    <w:rsid w:val="000314D7"/>
    <w:rsid w:val="00045F8B"/>
    <w:rsid w:val="00046D2B"/>
    <w:rsid w:val="00056263"/>
    <w:rsid w:val="000635BB"/>
    <w:rsid w:val="00064D8A"/>
    <w:rsid w:val="00064F82"/>
    <w:rsid w:val="00066510"/>
    <w:rsid w:val="00077523"/>
    <w:rsid w:val="000A29E2"/>
    <w:rsid w:val="000C089F"/>
    <w:rsid w:val="000C3928"/>
    <w:rsid w:val="000C5E8E"/>
    <w:rsid w:val="000D29D2"/>
    <w:rsid w:val="000D485D"/>
    <w:rsid w:val="000F4751"/>
    <w:rsid w:val="0010524C"/>
    <w:rsid w:val="00111FB1"/>
    <w:rsid w:val="00113418"/>
    <w:rsid w:val="001356F1"/>
    <w:rsid w:val="00136994"/>
    <w:rsid w:val="0014128E"/>
    <w:rsid w:val="00151888"/>
    <w:rsid w:val="00154813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16FE"/>
    <w:rsid w:val="002A22E2"/>
    <w:rsid w:val="002C64F7"/>
    <w:rsid w:val="002F39EE"/>
    <w:rsid w:val="002F41F2"/>
    <w:rsid w:val="002F7F3B"/>
    <w:rsid w:val="00301BF3"/>
    <w:rsid w:val="0030208D"/>
    <w:rsid w:val="00323418"/>
    <w:rsid w:val="00331BAA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6F14"/>
    <w:rsid w:val="0040736F"/>
    <w:rsid w:val="00412C1F"/>
    <w:rsid w:val="00421CB2"/>
    <w:rsid w:val="004265E6"/>
    <w:rsid w:val="004268B9"/>
    <w:rsid w:val="00426DDA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07586"/>
    <w:rsid w:val="00534D30"/>
    <w:rsid w:val="0053774D"/>
    <w:rsid w:val="0054712D"/>
    <w:rsid w:val="00547EF6"/>
    <w:rsid w:val="005570B5"/>
    <w:rsid w:val="00567E18"/>
    <w:rsid w:val="00575F5F"/>
    <w:rsid w:val="00581805"/>
    <w:rsid w:val="00585F76"/>
    <w:rsid w:val="00593243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17D"/>
    <w:rsid w:val="005F7F7E"/>
    <w:rsid w:val="00614693"/>
    <w:rsid w:val="00623C2F"/>
    <w:rsid w:val="00633578"/>
    <w:rsid w:val="00637068"/>
    <w:rsid w:val="00650811"/>
    <w:rsid w:val="00661D3E"/>
    <w:rsid w:val="006658ED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74C06"/>
    <w:rsid w:val="008B293F"/>
    <w:rsid w:val="008B7371"/>
    <w:rsid w:val="008C6577"/>
    <w:rsid w:val="008D3DDB"/>
    <w:rsid w:val="008E2241"/>
    <w:rsid w:val="008F573F"/>
    <w:rsid w:val="009034EC"/>
    <w:rsid w:val="009046E9"/>
    <w:rsid w:val="0090526A"/>
    <w:rsid w:val="00920EB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500CA"/>
    <w:rsid w:val="00B5018F"/>
    <w:rsid w:val="00B67423"/>
    <w:rsid w:val="00B86314"/>
    <w:rsid w:val="00BA1C2E"/>
    <w:rsid w:val="00BB705D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4ECC"/>
    <w:rsid w:val="00C85B4E"/>
    <w:rsid w:val="00C907F7"/>
    <w:rsid w:val="00C9301A"/>
    <w:rsid w:val="00CA2103"/>
    <w:rsid w:val="00CB6B99"/>
    <w:rsid w:val="00CE4C87"/>
    <w:rsid w:val="00CE544A"/>
    <w:rsid w:val="00CE7EE1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D5716"/>
    <w:rsid w:val="00DE0FB2"/>
    <w:rsid w:val="00DF093E"/>
    <w:rsid w:val="00E01C0D"/>
    <w:rsid w:val="00E01F42"/>
    <w:rsid w:val="00E05C82"/>
    <w:rsid w:val="00E206D6"/>
    <w:rsid w:val="00E3366E"/>
    <w:rsid w:val="00E4222F"/>
    <w:rsid w:val="00E52086"/>
    <w:rsid w:val="00E543A6"/>
    <w:rsid w:val="00E60479"/>
    <w:rsid w:val="00E604AD"/>
    <w:rsid w:val="00E61D73"/>
    <w:rsid w:val="00E73684"/>
    <w:rsid w:val="00E818D6"/>
    <w:rsid w:val="00E87F7A"/>
    <w:rsid w:val="00E96BD7"/>
    <w:rsid w:val="00EA0DB1"/>
    <w:rsid w:val="00EA0EE9"/>
    <w:rsid w:val="00EC165E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basedOn w:val="Normal"/>
    <w:rsid w:val="000D29D2"/>
    <w:pPr>
      <w:autoSpaceDE w:val="0"/>
      <w:autoSpaceDN w:val="0"/>
      <w:spacing w:after="0"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basedOn w:val="Normal"/>
    <w:rsid w:val="000D29D2"/>
    <w:pPr>
      <w:autoSpaceDE w:val="0"/>
      <w:autoSpaceDN w:val="0"/>
      <w:spacing w:after="0"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40F1-1045-4BE0-8AA0-881B9474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C73683F8</Template>
  <TotalTime>1</TotalTime>
  <Pages>3</Pages>
  <Words>694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awylde</dc:creator>
  <cp:lastModifiedBy>cphythian</cp:lastModifiedBy>
  <cp:revision>3</cp:revision>
  <cp:lastPrinted>2018-01-19T11:30:00Z</cp:lastPrinted>
  <dcterms:created xsi:type="dcterms:W3CDTF">2018-01-22T14:56:00Z</dcterms:created>
  <dcterms:modified xsi:type="dcterms:W3CDTF">2018-02-02T13:56:00Z</dcterms:modified>
</cp:coreProperties>
</file>